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F6" w:rsidRPr="004E12F6" w:rsidRDefault="004E12F6" w:rsidP="004E12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>Визначення</w:t>
      </w:r>
      <w:proofErr w:type="spellEnd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>результатів</w:t>
      </w:r>
      <w:proofErr w:type="spellEnd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>зовнішнього</w:t>
      </w:r>
      <w:proofErr w:type="spellEnd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>незалежного</w:t>
      </w:r>
      <w:proofErr w:type="spellEnd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>оцінювання</w:t>
      </w:r>
      <w:proofErr w:type="spellEnd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: </w:t>
      </w:r>
      <w:proofErr w:type="spellStart"/>
      <w:proofErr w:type="gramStart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>старі</w:t>
      </w:r>
      <w:proofErr w:type="spellEnd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>проблеми</w:t>
      </w:r>
      <w:proofErr w:type="spellEnd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та </w:t>
      </w:r>
      <w:proofErr w:type="spellStart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>нов</w:t>
      </w:r>
      <w:proofErr w:type="gramEnd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>і</w:t>
      </w:r>
      <w:proofErr w:type="spellEnd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b/>
          <w:bCs/>
          <w:sz w:val="36"/>
          <w:szCs w:val="36"/>
        </w:rPr>
        <w:t>перспективи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1566"/>
      </w:tblGrid>
      <w:tr w:rsidR="004E12F6" w:rsidRPr="004E12F6" w:rsidTr="004E1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2F6" w:rsidRPr="004E12F6" w:rsidRDefault="004E12F6" w:rsidP="004E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66875" cy="1905000"/>
                  <wp:effectExtent l="19050" t="0" r="9525" b="0"/>
                  <wp:docPr id="1" name="Рисунок 1" descr="http://education-ua.org/images/users/avatars/900/1136/%D0%91%D0%BE%D0%B9%D0%BA%D0%BE%20%D1%84%D0%BE%D1%82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cation-ua.org/images/users/avatars/900/1136/%D0%91%D0%BE%D0%B9%D0%BA%D0%BE%20%D1%84%D0%BE%D1%82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E12F6" w:rsidRPr="004E12F6" w:rsidRDefault="004E12F6" w:rsidP="004E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Автор: </w:t>
            </w:r>
          </w:p>
          <w:p w:rsidR="004E12F6" w:rsidRPr="004E12F6" w:rsidRDefault="004E12F6" w:rsidP="004E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2F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Валерій</w:t>
            </w:r>
            <w:proofErr w:type="spellEnd"/>
            <w:r w:rsidRPr="004E1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Бойко</w:t>
            </w:r>
          </w:p>
          <w:p w:rsidR="004E12F6" w:rsidRPr="004E12F6" w:rsidRDefault="004E12F6" w:rsidP="004E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2F6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Опубліковано</w:t>
            </w:r>
            <w:proofErr w:type="spellEnd"/>
            <w:r w:rsidRPr="004E1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12F6" w:rsidRPr="004E12F6" w:rsidRDefault="004E12F6" w:rsidP="004E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F6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17.10.2014</w:t>
            </w:r>
          </w:p>
        </w:tc>
      </w:tr>
    </w:tbl>
    <w:p w:rsidR="004E12F6" w:rsidRPr="004E12F6" w:rsidRDefault="004E12F6" w:rsidP="004E1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Зовнішнє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незалежне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увійшовши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дев’ять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тому в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освітній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прості</w:t>
      </w:r>
      <w:proofErr w:type="gramStart"/>
      <w:r w:rsidRPr="004E12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посіло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ньому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чільне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та довело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суспільству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життєздатність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Завдячуючи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ЗНО,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успіх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вступу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абітурієнта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до ВНЗ став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визначатися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знаннями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Двері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провідних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вишів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2F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12F6">
        <w:rPr>
          <w:rFonts w:ascii="Times New Roman" w:eastAsia="Times New Roman" w:hAnsi="Times New Roman" w:cs="Times New Roman"/>
          <w:sz w:val="24"/>
          <w:szCs w:val="24"/>
        </w:rPr>
        <w:t>ідкрилися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талановитих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випускників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шкіл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того,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наскільки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далеко вони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мешкають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столиці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обласних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центрів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Безперечними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перевагами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ЗНО, на наш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погляд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є: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об’єктивна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оцінка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автоматизація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об’єктивного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механізму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поля для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корупції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транспарентність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4E12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E12F6">
        <w:rPr>
          <w:rFonts w:ascii="Times New Roman" w:eastAsia="Times New Roman" w:hAnsi="Times New Roman" w:cs="Times New Roman"/>
          <w:sz w:val="24"/>
          <w:szCs w:val="24"/>
        </w:rPr>
        <w:t>ідвищення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мобільності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абітурієнтів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доступу на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кращих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вишах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місця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подавати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одразу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кількох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університетів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Проте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будь-яка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система, створена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людиною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людини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система ЗНО не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ідеальною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потребує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постійного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ухвалення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управлінських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12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E12F6">
        <w:rPr>
          <w:rFonts w:ascii="Times New Roman" w:eastAsia="Times New Roman" w:hAnsi="Times New Roman" w:cs="Times New Roman"/>
          <w:sz w:val="24"/>
          <w:szCs w:val="24"/>
        </w:rPr>
        <w:t>ішень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одного боку,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б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дієвими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запобіжниками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маргіналізації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а,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боку,– надавали б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потужних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імпульсів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удосконалення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сьогоднішній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день система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порозі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одного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proofErr w:type="gramStart"/>
      <w:r w:rsidRPr="004E12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E12F6">
        <w:rPr>
          <w:rFonts w:ascii="Times New Roman" w:eastAsia="Times New Roman" w:hAnsi="Times New Roman" w:cs="Times New Roman"/>
          <w:sz w:val="24"/>
          <w:szCs w:val="24"/>
        </w:rPr>
        <w:t>ішень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E12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E12F6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стосуватися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найбільш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суспільно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чутливого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елементу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ЗНО. Метою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написання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спроба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пояснити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виправданість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proofErr w:type="gramStart"/>
      <w:r w:rsidRPr="004E12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E12F6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механізм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E12F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перших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запровадження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зовнішнього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незалежного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центр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застосовує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шкалу 100–200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будується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автоматично на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методу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еквіпроцентильної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нормалізації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середнім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значенням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150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середньоквадратичним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відхиленням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20.</w:t>
      </w:r>
      <w:proofErr w:type="gram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шкалювання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низку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суттєвих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переваг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. По-перше, шкала 100–200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наближеною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еталонної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шкали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середнім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значенням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кожного предмета.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По-друге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шкала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стандартизованою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розподіл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абітурієнті</w:t>
      </w:r>
      <w:proofErr w:type="gramStart"/>
      <w:r w:rsidRPr="004E12F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шкалою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приблизно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однаковим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тестування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По-трет</w:t>
      </w:r>
      <w:proofErr w:type="gramStart"/>
      <w:r w:rsidRPr="004E12F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шкала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рейтинговою,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вказує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результату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зовнішнього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абітурієнта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абітурієнтів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певного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предмета.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По-четверте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шкала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справедливою, тому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абітурієнти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набрали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тестових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певного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предмета,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отримують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шкалою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абітурієнт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більшу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тестових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отримає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за шкалою 100–200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нижчу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той,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набрав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меншу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балі</w:t>
      </w:r>
      <w:proofErr w:type="gramStart"/>
      <w:r w:rsidRPr="004E12F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E1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відсіювання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абітурієнтів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E12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E12F6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умінь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фрагментарним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занизьким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у ВНЗ,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запроваджено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своєрідний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поріг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» у 124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вибрано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124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а не,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125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130,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пояснити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обґрунтувати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позиції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теорії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педагогічних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вимірювань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неможливо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. Як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неможливо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пояснити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результат у 123,5 бала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ЩЕ «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непрохідним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», а результат у 124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ВЖЕ «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прохідним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». 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врахувати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ту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обставину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кількісний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показник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універсальним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застосовується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тестування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парадоксальність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стає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12F6">
        <w:rPr>
          <w:rFonts w:ascii="Times New Roman" w:eastAsia="Times New Roman" w:hAnsi="Times New Roman" w:cs="Times New Roman"/>
          <w:sz w:val="24"/>
          <w:szCs w:val="24"/>
        </w:rPr>
        <w:t>очевидною</w:t>
      </w:r>
      <w:proofErr w:type="gramEnd"/>
      <w:r w:rsidRPr="004E1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того,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вузьким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«порогу» в 124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бали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те,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автоматичне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гарантує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відсікання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бала «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сліпого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вгадування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>» (рис. 1).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39300" cy="3200400"/>
            <wp:effectExtent l="19050" t="0" r="0" b="0"/>
            <wp:docPr id="2" name="Рисунок 2" descr="http://education-ua.org/images/uploads/137/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tion-ua.org/images/uploads/137/11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Аби зрозуміти наскільки такий стан речей є властивим для системи зовнішнього незалежного оцінювання в цілому розглянемо результати конвертації тестових балів зовнішнього оцінювання 2014 року в оцінки за шкалою 100–200 балів. У таблиці 1 подано тестовий бал з відповідного предмета та його значення в шкалі 100–200, отримання якого надавало абітурієнту право участі в конкурсному випробуванні при вступі до ВНЗ, у таблиці 2 подано бал «сліпого вгадування» з відповідного предмета та його значення в шкалі 100–200.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i/>
          <w:iCs/>
          <w:sz w:val="26"/>
          <w:lang w:val="uk-UA"/>
        </w:rPr>
        <w:t>Таблиця 1</w:t>
      </w:r>
    </w:p>
    <w:p w:rsidR="004E12F6" w:rsidRPr="004E12F6" w:rsidRDefault="004E12F6" w:rsidP="004E1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noProof/>
          <w:sz w:val="26"/>
          <w:szCs w:val="26"/>
        </w:rPr>
        <w:drawing>
          <wp:inline distT="0" distB="0" distL="0" distR="0">
            <wp:extent cx="6000750" cy="1771650"/>
            <wp:effectExtent l="19050" t="0" r="0" b="0"/>
            <wp:docPr id="3" name="Рисунок 3" descr="http://education-ua.org/images/uploads/137/1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cation-ua.org/images/uploads/137/111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2F6" w:rsidRPr="004E12F6" w:rsidRDefault="004E12F6" w:rsidP="004E12F6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i/>
          <w:iCs/>
          <w:sz w:val="26"/>
          <w:lang w:val="uk-UA"/>
        </w:rPr>
        <w:lastRenderedPageBreak/>
        <w:t>Таблиця 2</w:t>
      </w:r>
    </w:p>
    <w:p w:rsidR="004E12F6" w:rsidRPr="004E12F6" w:rsidRDefault="004E12F6" w:rsidP="004E12F6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noProof/>
          <w:sz w:val="26"/>
          <w:szCs w:val="26"/>
        </w:rPr>
        <w:drawing>
          <wp:inline distT="0" distB="0" distL="0" distR="0">
            <wp:extent cx="6000750" cy="1771650"/>
            <wp:effectExtent l="19050" t="0" r="0" b="0"/>
            <wp:docPr id="4" name="Рисунок 4" descr="http://education-ua.org/images/uploads/137/1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cation-ua.org/images/uploads/137/111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2F6" w:rsidRPr="004E12F6" w:rsidRDefault="004E12F6" w:rsidP="004E12F6">
      <w:pPr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Аналіз кількісних даних таблиць дає змогу виокремити три групи предметів: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– предмети, де тестовий бал, необхідний для подолання «порогу» 124 балів, суттєво перевищує бал «сліпого вгадування» (українська мова і література, російська мова, біологія, географія);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– предмети, де тестовий бал, необхідний для подолання «порогу» 124 балів, мінімально перевищує бал «сліпого вгадування» (хімія, іноземна мова) або є тотожнім (історія України);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– предмети, де тестовий бал, необхідний для подолання «порогу» 124 балів, є нижчим бала «сліпого вгадування» (математика, фізика).</w:t>
      </w:r>
      <w:r w:rsidRPr="004E12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Таким чином, лише в результатах з математики (рис. 2) і фізики (рис. 3) спостерігаємо картину, коли автоматично встановлений «поріг» у 124 бали, начебто відсіявши абітурієнтів, які не мають елементарних знань аби продовжувати навчання у ВНЗ, не відфільтрував тих абітурієнтів, які з високим ступенем імовірності набрали свої бали завдяки лотерейній вдачі, а не предметним знанням і вмінням.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5943600" cy="2381250"/>
            <wp:effectExtent l="19050" t="0" r="0" b="0"/>
            <wp:docPr id="5" name="Рисунок 5" descr="http://education-ua.org/images/uploads/137/1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cation-ua.org/images/uploads/137/111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Отже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ситуація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системи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ЗНО не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E12F6">
        <w:rPr>
          <w:rFonts w:ascii="Times New Roman" w:eastAsia="Times New Roman" w:hAnsi="Times New Roman" w:cs="Times New Roman"/>
          <w:sz w:val="26"/>
          <w:szCs w:val="26"/>
        </w:rPr>
        <w:t>критичною</w:t>
      </w:r>
      <w:proofErr w:type="gram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хоча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і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дражливою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оскільки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викликає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нарікання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, перш за все,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боку тих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вишів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зарахували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навчання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абітурієнтів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балами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вище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«порогу» в 124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бали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але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нижче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порогу </w:t>
      </w:r>
      <w:r w:rsidRPr="004E12F6"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сліпого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вгадування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Насправді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ж у </w:t>
      </w:r>
      <w:proofErr w:type="gramStart"/>
      <w:r w:rsidRPr="004E12F6">
        <w:rPr>
          <w:rFonts w:ascii="Times New Roman" w:eastAsia="Times New Roman" w:hAnsi="Times New Roman" w:cs="Times New Roman"/>
          <w:sz w:val="26"/>
          <w:szCs w:val="26"/>
        </w:rPr>
        <w:t>таких</w:t>
      </w:r>
      <w:proofErr w:type="gram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новоспечених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студентів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плечима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немає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реальних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знань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, а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їхнє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відрахування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ВНЗ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лише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питанням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найближчої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сесії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Яким ж є шлях вирішення проблеми співвідношення «порогу» в 124 бали та бала «сліпого вгадування»?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Найпростішим, на перший погляд, виглядає шлях збільшення кількості завдань у тестах з математики та фізики. Однак, такий крок тягне за собою збільшення видатків на підготовку та адміністрування тестів, що в нинішніх умовах є вкрай проблематичним. З іншого боку, «довантаження» й без того трудомістких тестів новими завданнями вплине на якість тестів як інструментів вимірювання, оскільки фактор втомленості абітурієнта суттєво й негативно впливатиме на результат виконання ним завдань тесту.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При цьому залишається нездоланою проблема «порогу» 124 балів з точки зору його предметного змісту. Ще раз підкреслимо, що предметно наповнити кількісний показник, отриманий статистичним шляхом, неможливо в принципі.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Таким чином, ситуація дещо нагадує </w:t>
      </w:r>
      <w:proofErr w:type="spellStart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цугцванг</w:t>
      </w:r>
      <w:proofErr w:type="spellEnd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, коли будь-який крок може лише погіршувати позиції системи в цілому.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Існуючий проблемний дуалізм «порогу» (відсіяти одночасно і тих абітурієнтів, які не мають елементарних знань для подальшого навчання у виші, пояснивши який саме обсяг знань стоїть за кількісним показником у 124 бали, і тих, які з високим ступенем імовірності набрали свої бали завдяки вгадуванню), на наш погляд, може бути подоланий, якщо система перейде на нові методологічні засади його визначення.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Тобто необхідно відмовитися від </w:t>
      </w:r>
      <w:r w:rsidRPr="004E12F6">
        <w:rPr>
          <w:rFonts w:ascii="Times New Roman" w:eastAsia="Calibri" w:hAnsi="Times New Roman" w:cs="Times New Roman"/>
          <w:b/>
          <w:bCs/>
          <w:i/>
          <w:iCs/>
          <w:sz w:val="26"/>
          <w:lang w:val="uk-UA"/>
        </w:rPr>
        <w:t>відносного критерію</w:t>
      </w: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встановлення «порогу», коли його кількісний показник залежить від того, наскільки хороші результати абітурієнт продемонстрував відносно інших учасників тестування, та запровадити </w:t>
      </w:r>
      <w:r w:rsidRPr="004E12F6">
        <w:rPr>
          <w:rFonts w:ascii="Times New Roman" w:eastAsia="Calibri" w:hAnsi="Times New Roman" w:cs="Times New Roman"/>
          <w:b/>
          <w:bCs/>
          <w:i/>
          <w:iCs/>
          <w:sz w:val="26"/>
          <w:lang w:val="uk-UA"/>
        </w:rPr>
        <w:t>абсолютний критерій</w:t>
      </w: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, коли рішення щодо «порогу» («склав»/«не склав») ухвалюється експертним шляхом.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сьогоднішній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галузь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вимірювань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володіє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широким спектром методик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експертного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порогу «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склав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»/«не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склав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проте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огляд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існуючих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методів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[1].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Розглянемо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метод,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на наш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погляд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E12F6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 w:rsidRPr="004E12F6">
        <w:rPr>
          <w:rFonts w:ascii="Times New Roman" w:eastAsia="Times New Roman" w:hAnsi="Times New Roman" w:cs="Times New Roman"/>
          <w:sz w:val="24"/>
          <w:szCs w:val="24"/>
        </w:rPr>
        <w:t>ільно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використати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зовнішнього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незалежного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йде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про метод,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запропонований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описаний В.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Ангоффом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>[2].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Чому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саме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метод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Ангоффа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Серед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чинників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E12F6">
        <w:rPr>
          <w:rFonts w:ascii="Times New Roman" w:eastAsia="Times New Roman" w:hAnsi="Times New Roman" w:cs="Times New Roman"/>
          <w:sz w:val="26"/>
          <w:szCs w:val="26"/>
        </w:rPr>
        <w:t>св</w:t>
      </w:r>
      <w:proofErr w:type="gramEnd"/>
      <w:r w:rsidRPr="004E12F6">
        <w:rPr>
          <w:rFonts w:ascii="Times New Roman" w:eastAsia="Times New Roman" w:hAnsi="Times New Roman" w:cs="Times New Roman"/>
          <w:sz w:val="26"/>
          <w:szCs w:val="26"/>
        </w:rPr>
        <w:t>ідчать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його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користь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визначальними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є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6"/>
          <w:szCs w:val="26"/>
        </w:rPr>
        <w:t>такі</w:t>
      </w:r>
      <w:proofErr w:type="spellEnd"/>
      <w:r w:rsidRPr="004E12F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– пройшов ґрунтовну емпіричну перевірку й довів свою ефективність;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– широко представлений  в науковій літературі й високо оцінений фахівцями з педагогічних вимірювань;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>– не потребує залучення значних матеріальних і людських ресурсів;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– потребує мінімального навчання та інструктажу залучених експертів;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– простота, легкість та прозорість процедури реалізації (адміністрування);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– висока надійність результатів його застосування.</w:t>
      </w:r>
      <w:r w:rsidRPr="004E12F6">
        <w:rPr>
          <w:rFonts w:ascii="Times New Roman" w:eastAsia="Times New Roman" w:hAnsi="Times New Roman" w:cs="Times New Roman"/>
          <w:sz w:val="10"/>
          <w:szCs w:val="10"/>
        </w:rPr>
        <w:t> 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Сутність метода </w:t>
      </w:r>
      <w:proofErr w:type="spellStart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Ангоффа</w:t>
      </w:r>
      <w:proofErr w:type="spellEnd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полягає в наступному. Після завершення тестування з кожного предмета збирається група експертів (спеціальна експертна комісія), яка, аналізуючи завдання тесту, визначає (оцінює) вірогідність правильної відповіді на кожне завдання мінімально підготовленого абітурієнта. Експертні оцінки усереднюються, а ці середні значення використовуються для визначення порогу «склав/не склав» або так званого «</w:t>
      </w:r>
      <w:proofErr w:type="spellStart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порогового</w:t>
      </w:r>
      <w:proofErr w:type="spellEnd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бала» (рис. 4).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2F6">
        <w:rPr>
          <w:rFonts w:ascii="Times New Roman" w:eastAsia="Calibri" w:hAnsi="Times New Roman" w:cs="Times New Roman"/>
          <w:i/>
          <w:iCs/>
          <w:sz w:val="26"/>
          <w:lang w:val="uk-UA"/>
        </w:rPr>
        <w:t>Рисунок 4</w:t>
      </w:r>
    </w:p>
    <w:p w:rsidR="004E12F6" w:rsidRPr="004E12F6" w:rsidRDefault="004E12F6" w:rsidP="004E1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noProof/>
          <w:sz w:val="26"/>
          <w:szCs w:val="26"/>
        </w:rPr>
        <w:drawing>
          <wp:inline distT="0" distB="0" distL="0" distR="0">
            <wp:extent cx="7734300" cy="2438400"/>
            <wp:effectExtent l="19050" t="0" r="0" b="0"/>
            <wp:docPr id="7" name="Рисунок 7" descr="http://education-ua.org/images/uploads/137/1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cation-ua.org/images/uploads/137/111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Таким чином, </w:t>
      </w:r>
      <w:r w:rsidRPr="004E12F6">
        <w:rPr>
          <w:rFonts w:ascii="Times New Roman" w:eastAsia="Calibri" w:hAnsi="Times New Roman" w:cs="Times New Roman"/>
          <w:b/>
          <w:bCs/>
          <w:sz w:val="26"/>
          <w:lang w:val="uk-UA"/>
        </w:rPr>
        <w:t>«</w:t>
      </w:r>
      <w:proofErr w:type="spellStart"/>
      <w:r w:rsidRPr="004E12F6">
        <w:rPr>
          <w:rFonts w:ascii="Times New Roman" w:eastAsia="Calibri" w:hAnsi="Times New Roman" w:cs="Times New Roman"/>
          <w:b/>
          <w:bCs/>
          <w:sz w:val="26"/>
          <w:lang w:val="uk-UA"/>
        </w:rPr>
        <w:t>пороговий</w:t>
      </w:r>
      <w:proofErr w:type="spellEnd"/>
      <w:r w:rsidRPr="004E12F6">
        <w:rPr>
          <w:rFonts w:ascii="Times New Roman" w:eastAsia="Calibri" w:hAnsi="Times New Roman" w:cs="Times New Roman"/>
          <w:b/>
          <w:bCs/>
          <w:sz w:val="26"/>
          <w:lang w:val="uk-UA"/>
        </w:rPr>
        <w:t xml:space="preserve"> бал»</w:t>
      </w: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– мінімальна кількість (сума) тестових балів зовнішнього незалежного оцінювання з певного предмета, отримання яких надає абітурієнту право участі в конкурсному випробуванні при вступі на навчання до вищого навчального закладу України.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12F6">
        <w:rPr>
          <w:rFonts w:ascii="Times New Roman" w:eastAsia="Calibri" w:hAnsi="Times New Roman" w:cs="Times New Roman"/>
          <w:sz w:val="10"/>
          <w:szCs w:val="10"/>
          <w:lang w:val="uk-UA"/>
        </w:rPr>
        <w:t>                     </w:t>
      </w:r>
      <w:r w:rsidRPr="004E12F6">
        <w:rPr>
          <w:rFonts w:ascii="Times New Roman" w:eastAsia="Times New Roman" w:hAnsi="Times New Roman" w:cs="Times New Roman"/>
          <w:sz w:val="26"/>
          <w:szCs w:val="26"/>
          <w:lang w:val="uk-UA"/>
        </w:rPr>
        <w:t>Як вже зазначалося, процедура адміністрування методу є доволі простою й прозорою та складається з кількох етапів.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b/>
          <w:bCs/>
          <w:sz w:val="26"/>
          <w:u w:val="single"/>
          <w:lang w:val="uk-UA"/>
        </w:rPr>
        <w:t>1 етап – організаційний.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На цьому етапі відбувається формування кола </w:t>
      </w:r>
      <w:proofErr w:type="spellStart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експертів–предметників</w:t>
      </w:r>
      <w:proofErr w:type="spellEnd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Їх має бути не менше 10. При цьому, експерти мають бути різної статі, віку, сфери діяльності (вчителі загальноосвітніх навчальних закладів, гімназій і ліцеїв; викладачі вищих навчальних закладів, науковці Національної академії наук, Академії педагогічних наук). У такий спосіб створюється прийнятний «освітній фон», коли експертна комісія в цілому репрезентуватиме освітнє середовище України. Варто підкреслити, що чим більше буде залучено експертів, тим кращою буде дисперсія експертних оцінок. Крім того, різність думок (оцінок) </w:t>
      </w: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 xml:space="preserve">зменшуватиме ефект «яструба/голубки». Як наслідок – більш точним виявиться середнє значення </w:t>
      </w:r>
      <w:proofErr w:type="spellStart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критеріального</w:t>
      </w:r>
      <w:proofErr w:type="spellEnd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«</w:t>
      </w:r>
      <w:proofErr w:type="spellStart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порогового</w:t>
      </w:r>
      <w:proofErr w:type="spellEnd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бала».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b/>
          <w:bCs/>
          <w:sz w:val="26"/>
          <w:u w:val="single"/>
          <w:lang w:val="uk-UA"/>
        </w:rPr>
        <w:t>2 етап – підготовчо-методологічний.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На цьому етапі відбувається загальне знайомство експертів з тестом, його структурою, формами завдань тощо. З метою забезпечення спільності розуміння підходу до оцінювання завдань експерти, ознайомившись із тестом, у своєму колі мають обговорити та визначитися з поняттям «мінімально підготовлений абітурієнт». У якості ілюстрації наведемо можливі визначення загального характеру.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«Мінімально підготовлений абітурієнт»: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pacing w:val="-4"/>
          <w:sz w:val="26"/>
          <w:szCs w:val="26"/>
          <w:lang w:val="uk-UA"/>
        </w:rPr>
        <w:t>– той, хто володіє найменшим обсягом знань, необхідних для виконання завдання;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– той, хто своїми знаннями й уміннями ледь відповідає освітньому предметному стандарту, чиї знання й уміння є фрагментарними, граничними, але прийнятними.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Зрозуміло, що експерти під час обговорення мають наповнити поняття предметним змістом. Наприклад, «мінімально підготовлений абітурієнт з іноземної мови – це той, хто читає короткі прості тексти з метою отримання основної інформації; знаходить необхідну інформацію у простих текстах повсякденного характеру (реклама, оголошення, меню, розклад руху поїздів, електронні листи тощо); вживає прості граматичні структури із завченими фразами, групами з кількох слів та стійких виразів для опису простих щоденних ситуацій; пише короткі прості записки та звернення, пов’язані з нагальними потребами».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2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E12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2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E12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2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E12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2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E12F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Після завершення обговорення модератор роботи комісії роздає Листи оцінювання завдань тесту (рис. 5) та здійснює загальний інструктаж експертів щодо оцінювання завдань: </w:t>
      </w:r>
      <w:r w:rsidRPr="004E12F6">
        <w:rPr>
          <w:rFonts w:ascii="Times New Roman" w:eastAsia="Times New Roman" w:hAnsi="Times New Roman" w:cs="Times New Roman"/>
          <w:i/>
          <w:iCs/>
          <w:sz w:val="26"/>
          <w:lang w:val="uk-UA"/>
        </w:rPr>
        <w:t xml:space="preserve">«Визначте (оцініть) кількість мінімально підготовлених абітурієнтів зі 100, які правильно виконають завдання. </w:t>
      </w:r>
      <w:proofErr w:type="spellStart"/>
      <w:r w:rsidRPr="004E12F6">
        <w:rPr>
          <w:rFonts w:ascii="Times New Roman" w:eastAsia="Times New Roman" w:hAnsi="Times New Roman" w:cs="Times New Roman"/>
          <w:i/>
          <w:iCs/>
          <w:sz w:val="26"/>
        </w:rPr>
        <w:t>Наприклад</w:t>
      </w:r>
      <w:proofErr w:type="spellEnd"/>
      <w:r w:rsidRPr="004E12F6">
        <w:rPr>
          <w:rFonts w:ascii="Times New Roman" w:eastAsia="Times New Roman" w:hAnsi="Times New Roman" w:cs="Times New Roman"/>
          <w:i/>
          <w:iCs/>
          <w:sz w:val="26"/>
        </w:rPr>
        <w:t xml:space="preserve">, </w:t>
      </w:r>
      <w:proofErr w:type="spellStart"/>
      <w:r w:rsidRPr="004E12F6">
        <w:rPr>
          <w:rFonts w:ascii="Times New Roman" w:eastAsia="Times New Roman" w:hAnsi="Times New Roman" w:cs="Times New Roman"/>
          <w:i/>
          <w:iCs/>
          <w:sz w:val="26"/>
        </w:rPr>
        <w:t>якщо</w:t>
      </w:r>
      <w:proofErr w:type="spellEnd"/>
      <w:r w:rsidRPr="004E12F6">
        <w:rPr>
          <w:rFonts w:ascii="Times New Roman" w:eastAsia="Times New Roman" w:hAnsi="Times New Roman" w:cs="Times New Roman"/>
          <w:i/>
          <w:iCs/>
          <w:sz w:val="26"/>
        </w:rPr>
        <w:t xml:space="preserve"> на Вашу думку </w:t>
      </w:r>
      <w:proofErr w:type="spellStart"/>
      <w:r w:rsidRPr="004E12F6">
        <w:rPr>
          <w:rFonts w:ascii="Times New Roman" w:eastAsia="Times New Roman" w:hAnsi="Times New Roman" w:cs="Times New Roman"/>
          <w:i/>
          <w:iCs/>
          <w:sz w:val="26"/>
        </w:rPr>
        <w:t>це</w:t>
      </w:r>
      <w:proofErr w:type="spellEnd"/>
      <w:r w:rsidRPr="004E12F6">
        <w:rPr>
          <w:rFonts w:ascii="Times New Roman" w:eastAsia="Times New Roman" w:hAnsi="Times New Roman" w:cs="Times New Roman"/>
          <w:i/>
          <w:iCs/>
          <w:sz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i/>
          <w:iCs/>
          <w:sz w:val="26"/>
        </w:rPr>
        <w:t>завдання</w:t>
      </w:r>
      <w:proofErr w:type="spellEnd"/>
      <w:r w:rsidRPr="004E12F6">
        <w:rPr>
          <w:rFonts w:ascii="Times New Roman" w:eastAsia="Times New Roman" w:hAnsi="Times New Roman" w:cs="Times New Roman"/>
          <w:i/>
          <w:iCs/>
          <w:sz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i/>
          <w:iCs/>
          <w:sz w:val="26"/>
        </w:rPr>
        <w:t>виконає</w:t>
      </w:r>
      <w:proofErr w:type="spellEnd"/>
      <w:r w:rsidRPr="004E12F6">
        <w:rPr>
          <w:rFonts w:ascii="Times New Roman" w:eastAsia="Times New Roman" w:hAnsi="Times New Roman" w:cs="Times New Roman"/>
          <w:i/>
          <w:iCs/>
          <w:sz w:val="26"/>
        </w:rPr>
        <w:t xml:space="preserve"> 60 </w:t>
      </w:r>
      <w:proofErr w:type="spellStart"/>
      <w:r w:rsidRPr="004E12F6">
        <w:rPr>
          <w:rFonts w:ascii="Times New Roman" w:eastAsia="Times New Roman" w:hAnsi="Times New Roman" w:cs="Times New Roman"/>
          <w:i/>
          <w:iCs/>
          <w:sz w:val="26"/>
        </w:rPr>
        <w:t>зі</w:t>
      </w:r>
      <w:proofErr w:type="spellEnd"/>
      <w:r w:rsidRPr="004E12F6">
        <w:rPr>
          <w:rFonts w:ascii="Times New Roman" w:eastAsia="Times New Roman" w:hAnsi="Times New Roman" w:cs="Times New Roman"/>
          <w:i/>
          <w:iCs/>
          <w:sz w:val="26"/>
        </w:rPr>
        <w:t xml:space="preserve"> 100, то в </w:t>
      </w:r>
      <w:proofErr w:type="spellStart"/>
      <w:r w:rsidRPr="004E12F6">
        <w:rPr>
          <w:rFonts w:ascii="Times New Roman" w:eastAsia="Times New Roman" w:hAnsi="Times New Roman" w:cs="Times New Roman"/>
          <w:i/>
          <w:iCs/>
          <w:sz w:val="26"/>
        </w:rPr>
        <w:t>графі</w:t>
      </w:r>
      <w:proofErr w:type="spellEnd"/>
      <w:r w:rsidRPr="004E12F6">
        <w:rPr>
          <w:rFonts w:ascii="Times New Roman" w:eastAsia="Times New Roman" w:hAnsi="Times New Roman" w:cs="Times New Roman"/>
          <w:i/>
          <w:iCs/>
          <w:sz w:val="26"/>
        </w:rPr>
        <w:t xml:space="preserve"> «% </w:t>
      </w:r>
      <w:proofErr w:type="spellStart"/>
      <w:r w:rsidRPr="004E12F6">
        <w:rPr>
          <w:rFonts w:ascii="Times New Roman" w:eastAsia="Times New Roman" w:hAnsi="Times New Roman" w:cs="Times New Roman"/>
          <w:i/>
          <w:iCs/>
          <w:sz w:val="26"/>
        </w:rPr>
        <w:t>правильної</w:t>
      </w:r>
      <w:proofErr w:type="spellEnd"/>
      <w:r w:rsidRPr="004E12F6">
        <w:rPr>
          <w:rFonts w:ascii="Times New Roman" w:eastAsia="Times New Roman" w:hAnsi="Times New Roman" w:cs="Times New Roman"/>
          <w:i/>
          <w:iCs/>
          <w:sz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i/>
          <w:iCs/>
          <w:sz w:val="26"/>
        </w:rPr>
        <w:t>відповіді</w:t>
      </w:r>
      <w:proofErr w:type="spellEnd"/>
      <w:r w:rsidRPr="004E12F6">
        <w:rPr>
          <w:rFonts w:ascii="Times New Roman" w:eastAsia="Times New Roman" w:hAnsi="Times New Roman" w:cs="Times New Roman"/>
          <w:i/>
          <w:iCs/>
          <w:sz w:val="26"/>
        </w:rPr>
        <w:t xml:space="preserve">» Листа </w:t>
      </w:r>
      <w:proofErr w:type="spellStart"/>
      <w:r w:rsidRPr="004E12F6">
        <w:rPr>
          <w:rFonts w:ascii="Times New Roman" w:eastAsia="Times New Roman" w:hAnsi="Times New Roman" w:cs="Times New Roman"/>
          <w:i/>
          <w:iCs/>
          <w:sz w:val="26"/>
        </w:rPr>
        <w:t>оцінювання</w:t>
      </w:r>
      <w:proofErr w:type="spellEnd"/>
      <w:r w:rsidRPr="004E12F6">
        <w:rPr>
          <w:rFonts w:ascii="Times New Roman" w:eastAsia="Times New Roman" w:hAnsi="Times New Roman" w:cs="Times New Roman"/>
          <w:i/>
          <w:iCs/>
          <w:sz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i/>
          <w:iCs/>
          <w:sz w:val="26"/>
        </w:rPr>
        <w:t>запишіть</w:t>
      </w:r>
      <w:proofErr w:type="spellEnd"/>
      <w:r w:rsidRPr="004E12F6">
        <w:rPr>
          <w:rFonts w:ascii="Times New Roman" w:eastAsia="Times New Roman" w:hAnsi="Times New Roman" w:cs="Times New Roman"/>
          <w:i/>
          <w:iCs/>
          <w:sz w:val="26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i/>
          <w:iCs/>
          <w:sz w:val="26"/>
        </w:rPr>
        <w:t>значення</w:t>
      </w:r>
      <w:proofErr w:type="spellEnd"/>
      <w:r w:rsidRPr="004E12F6">
        <w:rPr>
          <w:rFonts w:ascii="Times New Roman" w:eastAsia="Times New Roman" w:hAnsi="Times New Roman" w:cs="Times New Roman"/>
          <w:i/>
          <w:iCs/>
          <w:sz w:val="26"/>
        </w:rPr>
        <w:t xml:space="preserve"> 60%»</w:t>
      </w:r>
      <w:r w:rsidRPr="004E12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Times New Roman" w:hAnsi="Times New Roman" w:cs="Times New Roman"/>
          <w:sz w:val="24"/>
          <w:szCs w:val="24"/>
        </w:rPr>
        <w:t>Рисунок 5</w:t>
      </w:r>
    </w:p>
    <w:p w:rsidR="004E12F6" w:rsidRPr="004E12F6" w:rsidRDefault="004E12F6" w:rsidP="004E1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34625" cy="4010025"/>
            <wp:effectExtent l="19050" t="0" r="9525" b="0"/>
            <wp:docPr id="8" name="Рисунок 8" descr="http://education-ua.org/images/uploads/137/1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cation-ua.org/images/uploads/137/111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2F6" w:rsidRPr="004E12F6" w:rsidRDefault="004E12F6" w:rsidP="004E12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  <w:proofErr w:type="spellStart"/>
      <w:proofErr w:type="gramStart"/>
      <w:r w:rsidRPr="004E12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E12F6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інструктажу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модератор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обов’язково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2F6">
        <w:rPr>
          <w:rFonts w:ascii="Times New Roman" w:eastAsia="Times New Roman" w:hAnsi="Times New Roman" w:cs="Times New Roman"/>
          <w:sz w:val="24"/>
          <w:szCs w:val="24"/>
        </w:rPr>
        <w:t>наголошує</w:t>
      </w:r>
      <w:proofErr w:type="spellEnd"/>
      <w:r w:rsidRPr="004E12F6">
        <w:rPr>
          <w:rFonts w:ascii="Times New Roman" w:eastAsia="Times New Roman" w:hAnsi="Times New Roman" w:cs="Times New Roman"/>
          <w:sz w:val="24"/>
          <w:szCs w:val="24"/>
        </w:rPr>
        <w:t xml:space="preserve"> на таких моментах: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1) оцінка не повинна бути вищою, ніж 95 та нижчою, ніж 25 (для завдань з чотирма варіантами відповіді), оскільки навіть дуже добре підготовлений абітурієнт може помилитися й не виконати завдання, а мінімально підготовлений абітурієнт може вгадати правильну відповідь;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2) під час роботи експертам не надаються «ключі» відповідей до завдань, оскільки це може необґрунтовано впливати на експерта, нівелюючи його розуміння, «відчуття» складності завдання.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b/>
          <w:bCs/>
          <w:sz w:val="26"/>
          <w:u w:val="single"/>
          <w:lang w:val="uk-UA"/>
        </w:rPr>
        <w:t>3 етап – експертна оцінка тестових завдань.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На цьому етапі експерти самостійно працюють із завданнями тесту,заповнюючи Лист оцінювання. Варто підкреслити, що обговорення експертами завдань та можливих ймовірностей правильних відповідей не допускається.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b/>
          <w:bCs/>
          <w:sz w:val="26"/>
          <w:u w:val="single"/>
          <w:lang w:val="uk-UA"/>
        </w:rPr>
        <w:t>4 етап – узагальнення експертних оцінок.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pacing w:val="-4"/>
          <w:sz w:val="26"/>
          <w:szCs w:val="26"/>
          <w:lang w:val="uk-UA"/>
        </w:rPr>
        <w:t xml:space="preserve">Модератор групи збирає Листи оцінювання та вводить значення в таблицю </w:t>
      </w:r>
      <w:r w:rsidRPr="004E12F6">
        <w:rPr>
          <w:rFonts w:ascii="Times New Roman" w:eastAsia="Calibri" w:hAnsi="Times New Roman" w:cs="Times New Roman"/>
          <w:spacing w:val="-4"/>
          <w:sz w:val="26"/>
          <w:szCs w:val="26"/>
          <w:lang w:val="en-US"/>
        </w:rPr>
        <w:t>Excel</w:t>
      </w:r>
      <w:r w:rsidRPr="004E12F6">
        <w:rPr>
          <w:rFonts w:ascii="Times New Roman" w:eastAsia="Calibri" w:hAnsi="Times New Roman" w:cs="Times New Roman"/>
          <w:spacing w:val="-4"/>
          <w:sz w:val="26"/>
          <w:szCs w:val="26"/>
          <w:lang w:val="uk-UA"/>
        </w:rPr>
        <w:t xml:space="preserve"> для кожного завдання по кожному експерту й обчислює стандартне відхилення (рис. 6).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2F6">
        <w:rPr>
          <w:rFonts w:ascii="Times New Roman" w:eastAsia="Calibri" w:hAnsi="Times New Roman" w:cs="Times New Roman"/>
          <w:i/>
          <w:iCs/>
          <w:sz w:val="26"/>
          <w:lang w:val="uk-UA"/>
        </w:rPr>
        <w:t>Рисунок 6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noProof/>
          <w:sz w:val="26"/>
          <w:szCs w:val="26"/>
        </w:rPr>
        <w:lastRenderedPageBreak/>
        <w:drawing>
          <wp:inline distT="0" distB="0" distL="0" distR="0">
            <wp:extent cx="9629775" cy="2562225"/>
            <wp:effectExtent l="19050" t="0" r="9525" b="0"/>
            <wp:docPr id="9" name="Рисунок 9" descr="http://education-ua.org/images/uploads/137/1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cation-ua.org/images/uploads/137/111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pacing w:val="-4"/>
          <w:sz w:val="26"/>
          <w:szCs w:val="26"/>
          <w:lang w:val="uk-UA"/>
        </w:rPr>
        <w:t>Стандартне відхилення є «дзеркалом», яке відображає рівень розбіжностей між експертами по кожному завданню.</w:t>
      </w: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Низький його показник свідчить про високий рівень згоди між експертами. Високий показник є підґрунтям для колективного обговорення експертами причин розбіжностей в оцінках, яке організовує та координує модератор. Мета обговорення – підвищити рівень згоди між експертами шляхом перегляду ними своїх оцінок.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Варто підкреслити, що будь-яке завдання, для якого стандартне відхилення експертних оцінок перевищує 10, колективно обговорюється. За результатами таких обговорень експерти можуть змінити свою оцінку. У такому разі модератор групи вносить відповідні зміни в узагальнену таблицю </w:t>
      </w:r>
      <w:r w:rsidRPr="004E12F6">
        <w:rPr>
          <w:rFonts w:ascii="Times New Roman" w:eastAsia="Calibri" w:hAnsi="Times New Roman" w:cs="Times New Roman"/>
          <w:sz w:val="26"/>
          <w:szCs w:val="26"/>
          <w:lang w:val="en-US"/>
        </w:rPr>
        <w:t>Excel</w:t>
      </w: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Слід зауважити, що на цьому етапі роботи комісії експерти мають бути ознайомлені зі статистичними характеристиками результатів тестування (</w:t>
      </w:r>
      <w:r w:rsidRPr="004E12F6">
        <w:rPr>
          <w:rFonts w:ascii="Times New Roman" w:eastAsia="Calibri" w:hAnsi="Times New Roman" w:cs="Times New Roman"/>
          <w:i/>
          <w:iCs/>
          <w:sz w:val="26"/>
          <w:lang w:val="uk-UA"/>
        </w:rPr>
        <w:t>мода, медіана, середнє значення, стандартне відхилення, асиметрія, ексцес</w:t>
      </w: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) та психометричними характеристиками завдань тесту (</w:t>
      </w:r>
      <w:r w:rsidRPr="004E12F6">
        <w:rPr>
          <w:rFonts w:ascii="Times New Roman" w:eastAsia="Calibri" w:hAnsi="Times New Roman" w:cs="Times New Roman"/>
          <w:i/>
          <w:iCs/>
          <w:sz w:val="26"/>
          <w:lang w:val="uk-UA"/>
        </w:rPr>
        <w:t>складність, розподільна здатність, кореляція</w:t>
      </w: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). Урахування цих даних під час колективного обговорення експертних оцінок дозволить підвищити інформативність і обґрунтованість встановленого «</w:t>
      </w:r>
      <w:proofErr w:type="spellStart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порогового</w:t>
      </w:r>
      <w:proofErr w:type="spellEnd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бала».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b/>
          <w:bCs/>
          <w:sz w:val="26"/>
          <w:u w:val="single"/>
          <w:lang w:val="uk-UA"/>
        </w:rPr>
        <w:t>5 етап – визначення «</w:t>
      </w:r>
      <w:proofErr w:type="spellStart"/>
      <w:r w:rsidRPr="004E12F6">
        <w:rPr>
          <w:rFonts w:ascii="Times New Roman" w:eastAsia="Calibri" w:hAnsi="Times New Roman" w:cs="Times New Roman"/>
          <w:b/>
          <w:bCs/>
          <w:sz w:val="26"/>
          <w:u w:val="single"/>
          <w:lang w:val="uk-UA"/>
        </w:rPr>
        <w:t>порогового</w:t>
      </w:r>
      <w:proofErr w:type="spellEnd"/>
      <w:r w:rsidRPr="004E12F6">
        <w:rPr>
          <w:rFonts w:ascii="Times New Roman" w:eastAsia="Calibri" w:hAnsi="Times New Roman" w:cs="Times New Roman"/>
          <w:b/>
          <w:bCs/>
          <w:sz w:val="26"/>
          <w:u w:val="single"/>
          <w:lang w:val="uk-UA"/>
        </w:rPr>
        <w:t xml:space="preserve"> бала».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Після обговорення, коригування експертами своїх оцінок модератор в таблиці </w:t>
      </w:r>
      <w:r w:rsidRPr="004E12F6">
        <w:rPr>
          <w:rFonts w:ascii="Times New Roman" w:eastAsia="Calibri" w:hAnsi="Times New Roman" w:cs="Times New Roman"/>
          <w:sz w:val="26"/>
          <w:szCs w:val="26"/>
          <w:lang w:val="en-US"/>
        </w:rPr>
        <w:t>Excel</w:t>
      </w: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здійснює перетворення відсотка ймовірності правильної відповіді по кожному завданню у відповідний коефіцієнт. Наприклад, 45% – 0,45, 30% – 0,30 і т. д.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Далі модератор обчислює суму всіх коефіцієнтів завдань тесту по кожному експерту. Ця сума є «</w:t>
      </w:r>
      <w:proofErr w:type="spellStart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пороговим</w:t>
      </w:r>
      <w:proofErr w:type="spellEnd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балом», який встановив певний експерт.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На завершення обчислюється середнє значення «</w:t>
      </w:r>
      <w:proofErr w:type="spellStart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порогових</w:t>
      </w:r>
      <w:proofErr w:type="spellEnd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балів» усіх експертів (рис. 7). Це значення і є підсумковим «</w:t>
      </w:r>
      <w:proofErr w:type="spellStart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пороговим</w:t>
      </w:r>
      <w:proofErr w:type="spellEnd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балом» для тесту, заради визначення якого й працювала експертна комісія.</w:t>
      </w:r>
      <w:r w:rsidRPr="004E12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right="15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i/>
          <w:iCs/>
          <w:sz w:val="26"/>
          <w:lang w:val="uk-UA"/>
        </w:rPr>
        <w:lastRenderedPageBreak/>
        <w:t>                                           Рисунок 7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right="1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noProof/>
          <w:sz w:val="26"/>
          <w:szCs w:val="26"/>
        </w:rPr>
        <w:drawing>
          <wp:inline distT="0" distB="0" distL="0" distR="0">
            <wp:extent cx="5029200" cy="5143500"/>
            <wp:effectExtent l="19050" t="0" r="0" b="0"/>
            <wp:docPr id="10" name="Рисунок 10" descr="http://education-ua.org/images/uploads/137/1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cation-ua.org/images/uploads/137/1111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Після проведення усіх процедур обчислення результат роботи експертної комісії документально оформлюється Протоколом засідання комісії та Протокольним рішенням (ухвалою) щодо встановленого «</w:t>
      </w:r>
      <w:proofErr w:type="spellStart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порогового</w:t>
      </w:r>
      <w:proofErr w:type="spellEnd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бала» з відповідного предмета.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Далі відбувається стандартна процедура переведення тестових балів у оцінки за шкалою 100–200 балів. При цьому точкою відліку на шкалі буде не «</w:t>
      </w:r>
      <w:r w:rsidRPr="004E12F6">
        <w:rPr>
          <w:rFonts w:ascii="Times New Roman" w:eastAsia="Calibri" w:hAnsi="Times New Roman" w:cs="Times New Roman"/>
          <w:b/>
          <w:bCs/>
          <w:sz w:val="26"/>
          <w:lang w:val="uk-UA"/>
        </w:rPr>
        <w:t>0»</w:t>
      </w: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тестових балів, а значення «</w:t>
      </w:r>
      <w:proofErr w:type="spellStart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порогового</w:t>
      </w:r>
      <w:proofErr w:type="spellEnd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балу». Таким чином, результати абітурієнтів, які подолали «поріг», займуть відповідне місце на рейтинговій шкалі в діапазоні від 100 до 200 балів. У результаті навіть абітурієнти, які матимуть рейтинговий результат 100,5 балів, не кажучи вже про тих, чий результат становитиме 123,5 бала, отримають можливість брати участь у конкурсному випробуванні під час вступу на навчання до вищого навчального закладу України.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Таким чином, перехід до використання в практиці визначення результатів зовнішнього незалежного оцінювання </w:t>
      </w:r>
      <w:proofErr w:type="spellStart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критеріального</w:t>
      </w:r>
      <w:proofErr w:type="spellEnd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«</w:t>
      </w:r>
      <w:proofErr w:type="spellStart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>порогового</w:t>
      </w:r>
      <w:proofErr w:type="spellEnd"/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бала» («склав»/ «не склав») дозволить подолати дуалізм проблеми «порогу» в 124 бали та </w:t>
      </w:r>
      <w:r w:rsidRPr="004E12F6"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>розширити можливості тих абітурієнтів, які мають відповідний багаж знань і умінь, аби стати студентами омріяних університетів.</w:t>
      </w:r>
      <w:r w:rsidRPr="004E12F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E12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12F6" w:rsidRPr="004E12F6" w:rsidRDefault="004E12F6" w:rsidP="004E12F6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2F6">
        <w:rPr>
          <w:rFonts w:ascii="Times New Roman" w:eastAsia="Calibri" w:hAnsi="Times New Roman" w:cs="Times New Roman"/>
          <w:b/>
          <w:bCs/>
          <w:i/>
          <w:iCs/>
          <w:sz w:val="26"/>
          <w:lang w:val="uk-UA"/>
        </w:rPr>
        <w:t>Валерій Бойко</w:t>
      </w:r>
      <w:r w:rsidRPr="004E12F6">
        <w:rPr>
          <w:rFonts w:ascii="Times New Roman" w:eastAsia="Calibri" w:hAnsi="Times New Roman" w:cs="Times New Roman"/>
          <w:i/>
          <w:iCs/>
          <w:sz w:val="26"/>
          <w:lang w:val="uk-UA"/>
        </w:rPr>
        <w:t xml:space="preserve">, начальник відділу змісту суспільно-гуманітарних навчальних предметів Українського центру оцінювання якості </w:t>
      </w:r>
      <w:proofErr w:type="spellStart"/>
      <w:r w:rsidRPr="004E12F6">
        <w:rPr>
          <w:rFonts w:ascii="Times New Roman" w:eastAsia="Calibri" w:hAnsi="Times New Roman" w:cs="Times New Roman"/>
          <w:i/>
          <w:iCs/>
          <w:sz w:val="26"/>
          <w:lang w:val="uk-UA"/>
        </w:rPr>
        <w:t>освіт</w:t>
      </w:r>
      <w:proofErr w:type="spellEnd"/>
      <w:r w:rsidRPr="004E12F6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</w:p>
    <w:p w:rsidR="00D46760" w:rsidRDefault="00D46760"/>
    <w:sectPr w:rsidR="00D4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2F6"/>
    <w:rsid w:val="004E12F6"/>
    <w:rsid w:val="00D4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2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E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E12F6"/>
    <w:rPr>
      <w:i/>
      <w:iCs/>
    </w:rPr>
  </w:style>
  <w:style w:type="character" w:styleId="a5">
    <w:name w:val="Strong"/>
    <w:basedOn w:val="a0"/>
    <w:uiPriority w:val="22"/>
    <w:qFormat/>
    <w:rsid w:val="004E12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06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3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4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2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2288</Words>
  <Characters>13047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2014-10-28T17:51:00Z</dcterms:created>
  <dcterms:modified xsi:type="dcterms:W3CDTF">2014-10-28T17:52:00Z</dcterms:modified>
</cp:coreProperties>
</file>